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44" w:rsidRPr="0085142F" w:rsidRDefault="00491144" w:rsidP="0085142F">
      <w:pPr>
        <w:pStyle w:val="Heading1"/>
        <w:jc w:val="center"/>
        <w:rPr>
          <w:rStyle w:val="SubtleEmphasis"/>
          <w:b/>
          <w:i w:val="0"/>
          <w:iCs w:val="0"/>
          <w:color w:val="auto"/>
        </w:rPr>
      </w:pPr>
      <w:bookmarkStart w:id="0" w:name="_GoBack"/>
      <w:bookmarkEnd w:id="0"/>
      <w:r w:rsidRPr="0085142F">
        <w:rPr>
          <w:rStyle w:val="SubtleEmphasis"/>
          <w:b/>
          <w:i w:val="0"/>
          <w:iCs w:val="0"/>
          <w:color w:val="auto"/>
        </w:rPr>
        <w:t xml:space="preserve">Minutes of the </w:t>
      </w:r>
      <w:r w:rsidR="00014DE3" w:rsidRPr="0085142F">
        <w:rPr>
          <w:rStyle w:val="SubtleEmphasis"/>
          <w:b/>
          <w:i w:val="0"/>
          <w:iCs w:val="0"/>
          <w:color w:val="auto"/>
        </w:rPr>
        <w:t>Sixth</w:t>
      </w:r>
      <w:r w:rsidR="00DA76F2" w:rsidRPr="0085142F">
        <w:rPr>
          <w:rStyle w:val="SubtleEmphasis"/>
          <w:b/>
          <w:i w:val="0"/>
          <w:iCs w:val="0"/>
          <w:color w:val="auto"/>
        </w:rPr>
        <w:t xml:space="preserve"> </w:t>
      </w:r>
      <w:r w:rsidRPr="0085142F">
        <w:rPr>
          <w:rStyle w:val="SubtleEmphasis"/>
          <w:b/>
          <w:i w:val="0"/>
          <w:iCs w:val="0"/>
          <w:color w:val="auto"/>
        </w:rPr>
        <w:t xml:space="preserve">Annual </w:t>
      </w:r>
      <w:r w:rsidR="00BA3660" w:rsidRPr="0085142F">
        <w:rPr>
          <w:rStyle w:val="SubtleEmphasis"/>
          <w:b/>
          <w:i w:val="0"/>
          <w:iCs w:val="0"/>
          <w:color w:val="auto"/>
        </w:rPr>
        <w:t xml:space="preserve">General </w:t>
      </w:r>
      <w:r w:rsidRPr="0085142F">
        <w:rPr>
          <w:rStyle w:val="SubtleEmphasis"/>
          <w:b/>
          <w:i w:val="0"/>
          <w:iCs w:val="0"/>
          <w:color w:val="auto"/>
        </w:rPr>
        <w:t>Meeting of Members</w:t>
      </w:r>
    </w:p>
    <w:p w:rsidR="00CE7363" w:rsidRPr="0085142F" w:rsidRDefault="000F2C8B" w:rsidP="0085142F">
      <w:pPr>
        <w:pStyle w:val="Heading1"/>
        <w:jc w:val="center"/>
        <w:rPr>
          <w:rStyle w:val="SubtleEmphasis"/>
          <w:b/>
          <w:i w:val="0"/>
          <w:iCs w:val="0"/>
          <w:color w:val="auto"/>
        </w:rPr>
      </w:pPr>
      <w:r w:rsidRPr="0085142F">
        <w:rPr>
          <w:rStyle w:val="SubtleEmphasis"/>
          <w:b/>
          <w:i w:val="0"/>
          <w:iCs w:val="0"/>
          <w:color w:val="auto"/>
        </w:rPr>
        <w:t xml:space="preserve">Held at </w:t>
      </w:r>
      <w:r w:rsidR="00CE7363" w:rsidRPr="0085142F">
        <w:rPr>
          <w:rStyle w:val="SubtleEmphasis"/>
          <w:b/>
          <w:i w:val="0"/>
          <w:iCs w:val="0"/>
          <w:color w:val="auto"/>
        </w:rPr>
        <w:t xml:space="preserve">the </w:t>
      </w:r>
      <w:r w:rsidR="00014DE3" w:rsidRPr="0085142F">
        <w:rPr>
          <w:rStyle w:val="SubtleEmphasis"/>
          <w:b/>
          <w:i w:val="0"/>
          <w:iCs w:val="0"/>
          <w:color w:val="auto"/>
        </w:rPr>
        <w:t>Military Museums Boardroom, Calgary</w:t>
      </w:r>
      <w:r w:rsidR="00CE7363" w:rsidRPr="0085142F">
        <w:rPr>
          <w:rStyle w:val="SubtleEmphasis"/>
          <w:b/>
          <w:i w:val="0"/>
          <w:iCs w:val="0"/>
          <w:color w:val="auto"/>
        </w:rPr>
        <w:t xml:space="preserve"> and</w:t>
      </w:r>
    </w:p>
    <w:p w:rsidR="00093552" w:rsidRPr="0085142F" w:rsidRDefault="00093552" w:rsidP="0085142F">
      <w:pPr>
        <w:pStyle w:val="Heading1"/>
        <w:jc w:val="center"/>
        <w:rPr>
          <w:rStyle w:val="SubtleEmphasis"/>
          <w:b/>
          <w:i w:val="0"/>
          <w:iCs w:val="0"/>
          <w:color w:val="auto"/>
        </w:rPr>
      </w:pPr>
      <w:r w:rsidRPr="0085142F">
        <w:rPr>
          <w:rStyle w:val="SubtleEmphasis"/>
          <w:b/>
          <w:i w:val="0"/>
          <w:iCs w:val="0"/>
          <w:color w:val="auto"/>
        </w:rPr>
        <w:t>by Teleconference</w:t>
      </w:r>
    </w:p>
    <w:p w:rsidR="000F2C8B" w:rsidRPr="0085142F" w:rsidRDefault="000F2C8B" w:rsidP="0085142F">
      <w:pPr>
        <w:pStyle w:val="Heading1"/>
        <w:jc w:val="center"/>
        <w:rPr>
          <w:rStyle w:val="SubtleEmphasis"/>
          <w:b/>
          <w:i w:val="0"/>
          <w:iCs w:val="0"/>
          <w:color w:val="auto"/>
        </w:rPr>
      </w:pPr>
      <w:r w:rsidRPr="0085142F">
        <w:rPr>
          <w:rStyle w:val="SubtleEmphasis"/>
          <w:b/>
          <w:i w:val="0"/>
          <w:iCs w:val="0"/>
          <w:color w:val="auto"/>
        </w:rPr>
        <w:t xml:space="preserve">At </w:t>
      </w:r>
      <w:r w:rsidR="00F05D85" w:rsidRPr="0085142F">
        <w:rPr>
          <w:rStyle w:val="SubtleEmphasis"/>
          <w:b/>
          <w:i w:val="0"/>
          <w:iCs w:val="0"/>
          <w:color w:val="auto"/>
        </w:rPr>
        <w:t>1330 h</w:t>
      </w:r>
      <w:r w:rsidR="00093552" w:rsidRPr="0085142F">
        <w:rPr>
          <w:rStyle w:val="SubtleEmphasis"/>
          <w:b/>
          <w:i w:val="0"/>
          <w:iCs w:val="0"/>
          <w:color w:val="auto"/>
        </w:rPr>
        <w:t>ou</w:t>
      </w:r>
      <w:r w:rsidR="00F05D85" w:rsidRPr="0085142F">
        <w:rPr>
          <w:rStyle w:val="SubtleEmphasis"/>
          <w:b/>
          <w:i w:val="0"/>
          <w:iCs w:val="0"/>
          <w:color w:val="auto"/>
        </w:rPr>
        <w:t>rs</w:t>
      </w:r>
      <w:r w:rsidR="00934218" w:rsidRPr="0085142F">
        <w:rPr>
          <w:rStyle w:val="SubtleEmphasis"/>
          <w:b/>
          <w:i w:val="0"/>
          <w:iCs w:val="0"/>
          <w:color w:val="auto"/>
        </w:rPr>
        <w:t xml:space="preserve"> </w:t>
      </w:r>
      <w:r w:rsidRPr="0085142F">
        <w:rPr>
          <w:rStyle w:val="SubtleEmphasis"/>
          <w:b/>
          <w:i w:val="0"/>
          <w:iCs w:val="0"/>
          <w:color w:val="auto"/>
        </w:rPr>
        <w:t xml:space="preserve">on Friday, </w:t>
      </w:r>
      <w:r w:rsidR="00014DE3" w:rsidRPr="0085142F">
        <w:rPr>
          <w:rStyle w:val="SubtleEmphasis"/>
          <w:b/>
          <w:i w:val="0"/>
          <w:iCs w:val="0"/>
          <w:color w:val="auto"/>
        </w:rPr>
        <w:t>27 May 2016</w:t>
      </w:r>
    </w:p>
    <w:p w:rsidR="00491144" w:rsidRDefault="00491144" w:rsidP="00AF76AF">
      <w:pPr>
        <w:ind w:left="567" w:right="1019"/>
        <w:rPr>
          <w:rFonts w:ascii="Calibri" w:hAnsi="Calibri"/>
          <w:sz w:val="22"/>
          <w:szCs w:val="22"/>
        </w:rPr>
      </w:pPr>
    </w:p>
    <w:p w:rsidR="00491144" w:rsidRPr="001233D7" w:rsidRDefault="00491144" w:rsidP="00281554">
      <w:pPr>
        <w:pStyle w:val="Heading1"/>
      </w:pPr>
      <w:r w:rsidRPr="001233D7">
        <w:t>Chair:</w:t>
      </w:r>
      <w:r w:rsidRPr="001233D7">
        <w:tab/>
      </w:r>
      <w:r w:rsidR="00CE7363">
        <w:t>Kent Foster</w:t>
      </w:r>
      <w:r w:rsidRPr="001233D7">
        <w:t>, President</w:t>
      </w:r>
    </w:p>
    <w:p w:rsidR="00CE7363" w:rsidRDefault="00491144" w:rsidP="00281554">
      <w:pPr>
        <w:pStyle w:val="Heading1"/>
      </w:pPr>
      <w:r w:rsidRPr="001233D7">
        <w:t>Attendance:</w:t>
      </w:r>
      <w:r w:rsidRPr="001233D7">
        <w:tab/>
      </w:r>
      <w:r w:rsidR="00014DE3">
        <w:t xml:space="preserve"> </w:t>
      </w:r>
    </w:p>
    <w:p w:rsidR="00932409" w:rsidRPr="00932409" w:rsidRDefault="00932409" w:rsidP="00932409">
      <w:r>
        <w:t>Barry Ashton, Jared Joynt, Alex Gault, Robin Carter</w:t>
      </w:r>
    </w:p>
    <w:p w:rsidR="00014DE3" w:rsidRDefault="00CE7363" w:rsidP="00934218">
      <w:pPr>
        <w:pBdr>
          <w:top w:val="single" w:sz="12" w:space="1" w:color="auto"/>
          <w:bottom w:val="single" w:sz="12" w:space="1" w:color="auto"/>
        </w:pBdr>
        <w:tabs>
          <w:tab w:val="left" w:pos="1800"/>
          <w:tab w:val="right" w:pos="6912"/>
          <w:tab w:val="right" w:pos="9360"/>
        </w:tabs>
        <w:spacing w:after="120"/>
        <w:ind w:right="-7"/>
        <w:jc w:val="both"/>
        <w:rPr>
          <w:rFonts w:ascii="Calibri" w:hAnsi="Calibri"/>
          <w:sz w:val="22"/>
          <w:szCs w:val="22"/>
        </w:rPr>
      </w:pPr>
      <w:r w:rsidRPr="00014DE3">
        <w:rPr>
          <w:rStyle w:val="Heading2Char"/>
        </w:rPr>
        <w:t>By Teleconference</w:t>
      </w:r>
      <w:r>
        <w:rPr>
          <w:rFonts w:ascii="Calibri" w:hAnsi="Calibri"/>
          <w:sz w:val="22"/>
          <w:szCs w:val="22"/>
        </w:rPr>
        <w:t xml:space="preserve">: </w:t>
      </w:r>
    </w:p>
    <w:p w:rsidR="00932409" w:rsidRDefault="00932409" w:rsidP="00934218">
      <w:pPr>
        <w:pBdr>
          <w:top w:val="single" w:sz="12" w:space="1" w:color="auto"/>
          <w:bottom w:val="single" w:sz="12" w:space="1" w:color="auto"/>
        </w:pBdr>
        <w:tabs>
          <w:tab w:val="left" w:pos="1800"/>
          <w:tab w:val="right" w:pos="6912"/>
          <w:tab w:val="right" w:pos="9360"/>
        </w:tabs>
        <w:spacing w:after="120"/>
        <w:ind w:right="-7"/>
        <w:jc w:val="both"/>
        <w:rPr>
          <w:rFonts w:ascii="Calibri" w:hAnsi="Calibri"/>
          <w:sz w:val="22"/>
          <w:szCs w:val="22"/>
        </w:rPr>
      </w:pPr>
      <w:r>
        <w:t>Kent Foster (President), Bill Hewson, Maj Quentin Innis, Jim Kempling</w:t>
      </w:r>
    </w:p>
    <w:tbl>
      <w:tblPr>
        <w:tblW w:w="10368" w:type="dxa"/>
        <w:jc w:val="center"/>
        <w:tblLook w:val="01E0" w:firstRow="1" w:lastRow="1" w:firstColumn="1" w:lastColumn="1" w:noHBand="0" w:noVBand="0"/>
      </w:tblPr>
      <w:tblGrid>
        <w:gridCol w:w="912"/>
        <w:gridCol w:w="7577"/>
        <w:gridCol w:w="1879"/>
      </w:tblGrid>
      <w:tr w:rsidR="00491144" w:rsidRPr="001233D7" w:rsidTr="00B63260">
        <w:trPr>
          <w:jc w:val="center"/>
        </w:trPr>
        <w:tc>
          <w:tcPr>
            <w:tcW w:w="912" w:type="dxa"/>
          </w:tcPr>
          <w:p w:rsidR="00491144" w:rsidRPr="001233D7" w:rsidRDefault="00491144" w:rsidP="00281554">
            <w:pPr>
              <w:pStyle w:val="Heading1"/>
            </w:pPr>
            <w:r w:rsidRPr="001233D7">
              <w:t>Item</w:t>
            </w:r>
          </w:p>
        </w:tc>
        <w:tc>
          <w:tcPr>
            <w:tcW w:w="7577" w:type="dxa"/>
          </w:tcPr>
          <w:p w:rsidR="00491144" w:rsidRPr="001233D7" w:rsidRDefault="00491144" w:rsidP="00281554">
            <w:pPr>
              <w:pStyle w:val="Heading1"/>
            </w:pPr>
            <w:r w:rsidRPr="001233D7">
              <w:t>Discussion/Decision</w:t>
            </w:r>
          </w:p>
        </w:tc>
        <w:tc>
          <w:tcPr>
            <w:tcW w:w="1879" w:type="dxa"/>
          </w:tcPr>
          <w:p w:rsidR="00491144" w:rsidRPr="001233D7" w:rsidRDefault="00932409" w:rsidP="00281554">
            <w:pPr>
              <w:pStyle w:val="Heading1"/>
            </w:pPr>
            <w:r>
              <w:t>Action</w:t>
            </w:r>
          </w:p>
        </w:tc>
      </w:tr>
      <w:tr w:rsidR="00491144" w:rsidRPr="001233D7" w:rsidTr="00B63260">
        <w:trPr>
          <w:jc w:val="center"/>
        </w:trPr>
        <w:tc>
          <w:tcPr>
            <w:tcW w:w="912" w:type="dxa"/>
          </w:tcPr>
          <w:p w:rsidR="00491144" w:rsidRPr="001233D7" w:rsidRDefault="00932409" w:rsidP="00932409">
            <w:pPr>
              <w:pStyle w:val="Heading2"/>
            </w:pPr>
            <w:r>
              <w:t>1.</w:t>
            </w:r>
          </w:p>
        </w:tc>
        <w:tc>
          <w:tcPr>
            <w:tcW w:w="7577" w:type="dxa"/>
          </w:tcPr>
          <w:p w:rsidR="00491144" w:rsidRDefault="00C803EA" w:rsidP="00932409">
            <w:pPr>
              <w:pStyle w:val="Heading2"/>
            </w:pPr>
            <w:r>
              <w:t>Call to Order</w:t>
            </w:r>
          </w:p>
          <w:p w:rsidR="00C803EA" w:rsidRDefault="00C803EA" w:rsidP="00C803EA">
            <w:r>
              <w:t>There not being a quorum present at 1330 hrs, the President directed that the meeting be adjourned for 15 minutes.  When the meeting was reconvened at 1345 there were still fewer than 20 members present.</w:t>
            </w:r>
          </w:p>
          <w:p w:rsidR="00C803EA" w:rsidRDefault="00C803EA" w:rsidP="00C803EA">
            <w:pPr>
              <w:rPr>
                <w:i/>
              </w:rPr>
            </w:pPr>
            <w:r>
              <w:rPr>
                <w:i/>
              </w:rPr>
              <w:t>It was moved by Jim Kempling and seconded by Barry Ashton that the meeting accept that the members present constitute a quorum competent to carry out the business of the Foundation.</w:t>
            </w:r>
          </w:p>
          <w:p w:rsidR="00C803EA" w:rsidRPr="00C803EA" w:rsidRDefault="00C803EA" w:rsidP="00C803EA">
            <w:pPr>
              <w:rPr>
                <w:b/>
              </w:rPr>
            </w:pPr>
            <w:r>
              <w:rPr>
                <w:b/>
              </w:rPr>
              <w:t xml:space="preserve">                                                                                     Carried with no objections</w:t>
            </w:r>
          </w:p>
        </w:tc>
        <w:tc>
          <w:tcPr>
            <w:tcW w:w="1879" w:type="dxa"/>
          </w:tcPr>
          <w:p w:rsidR="00491144" w:rsidRPr="001233D7" w:rsidRDefault="00491144" w:rsidP="00B63260">
            <w:pPr>
              <w:ind w:left="150" w:right="411"/>
              <w:rPr>
                <w:rFonts w:ascii="Calibri" w:hAnsi="Calibri"/>
                <w:szCs w:val="22"/>
              </w:rPr>
            </w:pPr>
          </w:p>
        </w:tc>
      </w:tr>
      <w:tr w:rsidR="00C803EA" w:rsidRPr="001233D7" w:rsidTr="00B63260">
        <w:trPr>
          <w:jc w:val="center"/>
        </w:trPr>
        <w:tc>
          <w:tcPr>
            <w:tcW w:w="912" w:type="dxa"/>
          </w:tcPr>
          <w:p w:rsidR="00C803EA" w:rsidRDefault="00C803EA" w:rsidP="00932409">
            <w:pPr>
              <w:pStyle w:val="Heading2"/>
            </w:pPr>
            <w:r>
              <w:t>2.</w:t>
            </w:r>
          </w:p>
        </w:tc>
        <w:tc>
          <w:tcPr>
            <w:tcW w:w="7577" w:type="dxa"/>
          </w:tcPr>
          <w:p w:rsidR="00C803EA" w:rsidRDefault="00C803EA" w:rsidP="00932409">
            <w:pPr>
              <w:pStyle w:val="Heading2"/>
            </w:pPr>
            <w:r>
              <w:t>Agenda</w:t>
            </w:r>
          </w:p>
          <w:p w:rsidR="00C803EA" w:rsidRPr="00C803EA" w:rsidRDefault="00C803EA" w:rsidP="00C803EA">
            <w:pPr>
              <w:rPr>
                <w:b/>
              </w:rPr>
            </w:pPr>
            <w:r>
              <w:rPr>
                <w:i/>
              </w:rPr>
              <w:t xml:space="preserve">It was moved by Barry Ashton and seconded by Jim Kempling that the agenda </w:t>
            </w:r>
            <w:r w:rsidR="0015276F">
              <w:rPr>
                <w:i/>
              </w:rPr>
              <w:t xml:space="preserve">as presented </w:t>
            </w:r>
            <w:r>
              <w:rPr>
                <w:i/>
              </w:rPr>
              <w:t xml:space="preserve">be approved.                                                                                  </w:t>
            </w:r>
            <w:r>
              <w:rPr>
                <w:b/>
              </w:rPr>
              <w:t>Carried</w:t>
            </w:r>
          </w:p>
        </w:tc>
        <w:tc>
          <w:tcPr>
            <w:tcW w:w="1879" w:type="dxa"/>
          </w:tcPr>
          <w:p w:rsidR="00C803EA" w:rsidRPr="001233D7" w:rsidRDefault="00C803EA" w:rsidP="00B63260">
            <w:pPr>
              <w:ind w:left="150" w:right="411"/>
              <w:rPr>
                <w:rFonts w:ascii="Calibri" w:hAnsi="Calibri"/>
                <w:szCs w:val="22"/>
              </w:rPr>
            </w:pPr>
          </w:p>
        </w:tc>
      </w:tr>
      <w:tr w:rsidR="00C803EA" w:rsidRPr="001233D7" w:rsidTr="00B63260">
        <w:trPr>
          <w:jc w:val="center"/>
        </w:trPr>
        <w:tc>
          <w:tcPr>
            <w:tcW w:w="912" w:type="dxa"/>
          </w:tcPr>
          <w:p w:rsidR="00C803EA" w:rsidRDefault="00EC41B1" w:rsidP="00932409">
            <w:pPr>
              <w:pStyle w:val="Heading2"/>
            </w:pPr>
            <w:r>
              <w:t>3.</w:t>
            </w:r>
          </w:p>
        </w:tc>
        <w:tc>
          <w:tcPr>
            <w:tcW w:w="7577" w:type="dxa"/>
          </w:tcPr>
          <w:p w:rsidR="00C803EA" w:rsidRDefault="00EC41B1" w:rsidP="00932409">
            <w:pPr>
              <w:pStyle w:val="Heading2"/>
            </w:pPr>
            <w:r>
              <w:t>Minutes of the 5</w:t>
            </w:r>
            <w:r w:rsidRPr="00EC41B1">
              <w:rPr>
                <w:vertAlign w:val="superscript"/>
              </w:rPr>
              <w:t>th</w:t>
            </w:r>
            <w:r>
              <w:t xml:space="preserve"> Annual Meeting</w:t>
            </w:r>
          </w:p>
          <w:p w:rsidR="00EC41B1" w:rsidRDefault="00EC41B1" w:rsidP="00EC41B1">
            <w:r>
              <w:t>The minutes were reviewed.</w:t>
            </w:r>
          </w:p>
          <w:p w:rsidR="00EC41B1" w:rsidRDefault="00EC41B1" w:rsidP="00EC41B1">
            <w:pPr>
              <w:rPr>
                <w:i/>
              </w:rPr>
            </w:pPr>
            <w:r>
              <w:rPr>
                <w:i/>
              </w:rPr>
              <w:t>It was moved by Robin Carter and seconded by Bill Hewson that the minutes of the 5</w:t>
            </w:r>
            <w:r w:rsidRPr="00EC41B1">
              <w:rPr>
                <w:i/>
                <w:vertAlign w:val="superscript"/>
              </w:rPr>
              <w:t>th</w:t>
            </w:r>
            <w:r>
              <w:rPr>
                <w:i/>
              </w:rPr>
              <w:t xml:space="preserve"> Annual Meeting be approved.</w:t>
            </w:r>
          </w:p>
          <w:p w:rsidR="00EC41B1" w:rsidRPr="00EC41B1" w:rsidRDefault="00EC41B1" w:rsidP="00EC41B1">
            <w:pPr>
              <w:rPr>
                <w:b/>
              </w:rPr>
            </w:pPr>
            <w:r>
              <w:rPr>
                <w:b/>
              </w:rPr>
              <w:t xml:space="preserve">                                                                                                                        Carried</w:t>
            </w:r>
          </w:p>
        </w:tc>
        <w:tc>
          <w:tcPr>
            <w:tcW w:w="1879" w:type="dxa"/>
          </w:tcPr>
          <w:p w:rsidR="00C803EA" w:rsidRPr="001233D7" w:rsidRDefault="00C803EA" w:rsidP="00B63260">
            <w:pPr>
              <w:ind w:left="150" w:right="411"/>
              <w:rPr>
                <w:rFonts w:ascii="Calibri" w:hAnsi="Calibri"/>
                <w:szCs w:val="22"/>
              </w:rPr>
            </w:pPr>
          </w:p>
        </w:tc>
      </w:tr>
      <w:tr w:rsidR="00EC41B1" w:rsidRPr="001233D7" w:rsidTr="00B63260">
        <w:trPr>
          <w:jc w:val="center"/>
        </w:trPr>
        <w:tc>
          <w:tcPr>
            <w:tcW w:w="912" w:type="dxa"/>
          </w:tcPr>
          <w:p w:rsidR="00EC41B1" w:rsidRDefault="00281554" w:rsidP="00932409">
            <w:pPr>
              <w:pStyle w:val="Heading2"/>
            </w:pPr>
            <w:r>
              <w:rPr>
                <w:rFonts w:eastAsia="Times New Roman" w:cs="Times New Roman"/>
                <w:b w:val="0"/>
                <w:szCs w:val="20"/>
              </w:rPr>
              <w:br w:type="page"/>
            </w:r>
            <w:r w:rsidR="00EC41B1">
              <w:t>4.</w:t>
            </w:r>
          </w:p>
        </w:tc>
        <w:tc>
          <w:tcPr>
            <w:tcW w:w="7577" w:type="dxa"/>
          </w:tcPr>
          <w:p w:rsidR="00EC41B1" w:rsidRDefault="00EC41B1" w:rsidP="00932409">
            <w:pPr>
              <w:pStyle w:val="Heading2"/>
            </w:pPr>
            <w:r>
              <w:t>Report of the President</w:t>
            </w:r>
          </w:p>
          <w:p w:rsidR="00EC41B1" w:rsidRDefault="00EC41B1" w:rsidP="00EC41B1">
            <w:r>
              <w:t>The President review</w:t>
            </w:r>
            <w:r w:rsidR="0015276F">
              <w:t>ed</w:t>
            </w:r>
            <w:r>
              <w:t xml:space="preserve"> the year with the support of the attached </w:t>
            </w:r>
            <w:r w:rsidR="0015276F">
              <w:t>slide presentation.</w:t>
            </w:r>
            <w:r>
              <w:t xml:space="preserve">  He noted the hiring of Crescendo, the Frezenberg centennial and the Heroes Hockey Challenge in Toronto with the Maple Leafs Alumni as highlight</w:t>
            </w:r>
            <w:r w:rsidR="0015276F">
              <w:t>s</w:t>
            </w:r>
            <w:r>
              <w:t>.  The success of HHC was due in large part to the ongoing efforts of Glenn Cumyn the event founder and Dave Fraser who mobilized support in Toronto.</w:t>
            </w:r>
          </w:p>
          <w:p w:rsidR="00EC41B1" w:rsidRPr="0085142F" w:rsidRDefault="0085142F" w:rsidP="0085142F">
            <w:pPr>
              <w:rPr>
                <w:b/>
              </w:rPr>
            </w:pPr>
            <w:r>
              <w:rPr>
                <w:b/>
              </w:rPr>
              <w:t xml:space="preserve">                                                                                                         </w:t>
            </w:r>
          </w:p>
        </w:tc>
        <w:tc>
          <w:tcPr>
            <w:tcW w:w="1879" w:type="dxa"/>
          </w:tcPr>
          <w:p w:rsidR="00EC41B1" w:rsidRPr="001233D7" w:rsidRDefault="00EC41B1" w:rsidP="00B63260">
            <w:pPr>
              <w:ind w:left="150" w:right="411"/>
              <w:rPr>
                <w:rFonts w:ascii="Calibri" w:hAnsi="Calibri"/>
                <w:szCs w:val="22"/>
              </w:rPr>
            </w:pPr>
          </w:p>
        </w:tc>
      </w:tr>
    </w:tbl>
    <w:p w:rsidR="0085142F" w:rsidRDefault="0085142F">
      <w:r>
        <w:rPr>
          <w:b/>
        </w:rPr>
        <w:br w:type="page"/>
      </w:r>
    </w:p>
    <w:tbl>
      <w:tblPr>
        <w:tblW w:w="10368" w:type="dxa"/>
        <w:jc w:val="center"/>
        <w:tblLook w:val="01E0" w:firstRow="1" w:lastRow="1" w:firstColumn="1" w:lastColumn="1" w:noHBand="0" w:noVBand="0"/>
      </w:tblPr>
      <w:tblGrid>
        <w:gridCol w:w="912"/>
        <w:gridCol w:w="7577"/>
        <w:gridCol w:w="1879"/>
      </w:tblGrid>
      <w:tr w:rsidR="0085142F" w:rsidRPr="001233D7" w:rsidTr="00B63260">
        <w:trPr>
          <w:jc w:val="center"/>
        </w:trPr>
        <w:tc>
          <w:tcPr>
            <w:tcW w:w="912" w:type="dxa"/>
          </w:tcPr>
          <w:p w:rsidR="0085142F" w:rsidRDefault="0085142F" w:rsidP="00932409">
            <w:pPr>
              <w:pStyle w:val="Heading2"/>
              <w:rPr>
                <w:rFonts w:eastAsia="Times New Roman" w:cs="Times New Roman"/>
                <w:b w:val="0"/>
                <w:szCs w:val="20"/>
              </w:rPr>
            </w:pPr>
          </w:p>
        </w:tc>
        <w:tc>
          <w:tcPr>
            <w:tcW w:w="7577" w:type="dxa"/>
          </w:tcPr>
          <w:p w:rsidR="0085142F" w:rsidRDefault="0085142F" w:rsidP="0085142F">
            <w:r>
              <w:t xml:space="preserve">Membership continues to grow albeit at a reduced pace as we continue to work </w:t>
            </w:r>
            <w:r w:rsidR="0015276F">
              <w:t xml:space="preserve">in accordance with </w:t>
            </w:r>
            <w:r>
              <w:t>the 2015-2019 business plan.</w:t>
            </w:r>
          </w:p>
          <w:p w:rsidR="0085142F" w:rsidRDefault="0085142F" w:rsidP="0085142F">
            <w:r>
              <w:t xml:space="preserve">2016 has already seen some success with HHC Victoria completed netting $10,000 and the Buller climb and Somme dinner showing all signs of being great events.                                                                                 </w:t>
            </w:r>
            <w:r w:rsidRPr="0085142F">
              <w:rPr>
                <w:b/>
              </w:rPr>
              <w:t>Report Received</w:t>
            </w:r>
          </w:p>
          <w:p w:rsidR="0085142F" w:rsidRDefault="0085142F" w:rsidP="00932409">
            <w:pPr>
              <w:pStyle w:val="Heading2"/>
            </w:pPr>
          </w:p>
        </w:tc>
        <w:tc>
          <w:tcPr>
            <w:tcW w:w="1879" w:type="dxa"/>
          </w:tcPr>
          <w:p w:rsidR="0085142F" w:rsidRPr="001233D7" w:rsidRDefault="0085142F" w:rsidP="00B63260">
            <w:pPr>
              <w:ind w:left="150" w:right="411"/>
              <w:rPr>
                <w:rFonts w:ascii="Calibri" w:hAnsi="Calibri"/>
                <w:szCs w:val="22"/>
              </w:rPr>
            </w:pPr>
          </w:p>
        </w:tc>
      </w:tr>
      <w:tr w:rsidR="00EC41B1" w:rsidRPr="001233D7" w:rsidTr="00B63260">
        <w:trPr>
          <w:jc w:val="center"/>
        </w:trPr>
        <w:tc>
          <w:tcPr>
            <w:tcW w:w="912" w:type="dxa"/>
          </w:tcPr>
          <w:p w:rsidR="00EC41B1" w:rsidRDefault="00EC41B1" w:rsidP="00932409">
            <w:pPr>
              <w:pStyle w:val="Heading2"/>
            </w:pPr>
            <w:r>
              <w:t>5.</w:t>
            </w:r>
          </w:p>
        </w:tc>
        <w:tc>
          <w:tcPr>
            <w:tcW w:w="7577" w:type="dxa"/>
          </w:tcPr>
          <w:p w:rsidR="00EC41B1" w:rsidRDefault="00EC41B1" w:rsidP="00932409">
            <w:pPr>
              <w:pStyle w:val="Heading2"/>
            </w:pPr>
            <w:r>
              <w:t>Treasurers Report</w:t>
            </w:r>
          </w:p>
          <w:p w:rsidR="00EC41B1" w:rsidRDefault="00281554" w:rsidP="00EC41B1">
            <w:r>
              <w:t>Barry A</w:t>
            </w:r>
            <w:r w:rsidR="00EC41B1">
              <w:t>shton reported for the Finance Committee in the absence of the Treasurer.</w:t>
            </w:r>
            <w:r>
              <w:t xml:space="preserve">  He noted that the sharp decline revenue in 2015 was due at least in part to revenues for the Frezenberg event appearing in 2014 while expenditures of about $80,000 were reported in 2015.  Some adjustments to the material circulated in advance were noted with those corrections reflected in the attached material.</w:t>
            </w:r>
          </w:p>
          <w:p w:rsidR="00281554" w:rsidRPr="00281554" w:rsidRDefault="00281554" w:rsidP="00EC41B1">
            <w:pPr>
              <w:rPr>
                <w:b/>
              </w:rPr>
            </w:pPr>
            <w:r>
              <w:rPr>
                <w:i/>
              </w:rPr>
              <w:t>It was moved by Barry Ashton and seconded by Bill Hewson that the Treasurers report be accepted.</w:t>
            </w:r>
            <w:r>
              <w:t xml:space="preserve">                                                                  </w:t>
            </w:r>
            <w:r>
              <w:rPr>
                <w:b/>
              </w:rPr>
              <w:t>Carried</w:t>
            </w:r>
          </w:p>
        </w:tc>
        <w:tc>
          <w:tcPr>
            <w:tcW w:w="1879" w:type="dxa"/>
          </w:tcPr>
          <w:p w:rsidR="00EC41B1" w:rsidRPr="001233D7" w:rsidRDefault="00EC41B1" w:rsidP="00B63260">
            <w:pPr>
              <w:ind w:left="150" w:right="411"/>
              <w:rPr>
                <w:rFonts w:ascii="Calibri" w:hAnsi="Calibri"/>
                <w:szCs w:val="22"/>
              </w:rPr>
            </w:pPr>
          </w:p>
        </w:tc>
      </w:tr>
      <w:tr w:rsidR="00281554" w:rsidRPr="001233D7" w:rsidTr="00B63260">
        <w:trPr>
          <w:jc w:val="center"/>
        </w:trPr>
        <w:tc>
          <w:tcPr>
            <w:tcW w:w="912" w:type="dxa"/>
          </w:tcPr>
          <w:p w:rsidR="00281554" w:rsidRDefault="00281554" w:rsidP="00932409">
            <w:pPr>
              <w:pStyle w:val="Heading2"/>
            </w:pPr>
            <w:r>
              <w:t>6.</w:t>
            </w:r>
          </w:p>
        </w:tc>
        <w:tc>
          <w:tcPr>
            <w:tcW w:w="7577" w:type="dxa"/>
          </w:tcPr>
          <w:p w:rsidR="00281554" w:rsidRDefault="00281554" w:rsidP="00932409">
            <w:pPr>
              <w:pStyle w:val="Heading2"/>
            </w:pPr>
            <w:r>
              <w:t>Report of the Nominating Committee</w:t>
            </w:r>
          </w:p>
          <w:p w:rsidR="00373FC9" w:rsidRDefault="00281554" w:rsidP="00373FC9">
            <w:r>
              <w:t xml:space="preserve">Bill Hewson presented the report of the nominating committee.  The committee noted that three trustees were appointed.  The Regimental Guard was represented by BGen </w:t>
            </w:r>
            <w:r w:rsidR="00373FC9">
              <w:t xml:space="preserve">Peter Dawe while the regimental Executive Committee was represented by CWO Paul Francis, RSM 3PPCLI and Maj Quentin Innis, the regimental Major.  The remaining trustees were appointed for three year renewable terms.  Three trustees from the 2013 cadre, Doug Brooks, Jared Joynt and John Sharpe would be stepping down Keith Corbold would also be stepping down for medical reasons.  </w:t>
            </w:r>
          </w:p>
          <w:p w:rsidR="00373FC9" w:rsidRDefault="00373FC9" w:rsidP="00373FC9">
            <w:r>
              <w:t>Matthew Overton and Jim Kempling had agreed to let their names stand.</w:t>
            </w:r>
          </w:p>
          <w:p w:rsidR="00281554" w:rsidRDefault="00373FC9" w:rsidP="00373FC9">
            <w:pPr>
              <w:rPr>
                <w:b/>
              </w:rPr>
            </w:pPr>
            <w:r>
              <w:t xml:space="preserve"> </w:t>
            </w:r>
            <w:r>
              <w:rPr>
                <w:i/>
              </w:rPr>
              <w:t xml:space="preserve">It was moved by Bill Hewson and seconded by Barry Ashton the Matt Overton and Jim Kempling be trustees of the Foundation.                  </w:t>
            </w:r>
            <w:r>
              <w:rPr>
                <w:b/>
              </w:rPr>
              <w:t>Carried</w:t>
            </w:r>
          </w:p>
          <w:p w:rsidR="00373FC9" w:rsidRDefault="00373FC9" w:rsidP="00373FC9">
            <w:pPr>
              <w:rPr>
                <w:b/>
              </w:rPr>
            </w:pPr>
          </w:p>
          <w:p w:rsidR="00373FC9" w:rsidRDefault="00373FC9" w:rsidP="00373FC9">
            <w:r>
              <w:t>Acknowledging the si</w:t>
            </w:r>
            <w:r w:rsidR="00FE45F9">
              <w:t xml:space="preserve">tuation analysis </w:t>
            </w:r>
            <w:r>
              <w:t xml:space="preserve">of the Communications and Public Relations Committee </w:t>
            </w:r>
            <w:r w:rsidR="00FE45F9">
              <w:t xml:space="preserve">and the support of the Board of Trustees, </w:t>
            </w:r>
            <w:r>
              <w:t xml:space="preserve">the following nomination from the floor was accepted. </w:t>
            </w:r>
          </w:p>
          <w:p w:rsidR="00373FC9" w:rsidRDefault="00373FC9" w:rsidP="00373FC9"/>
          <w:p w:rsidR="00373FC9" w:rsidRPr="00373FC9" w:rsidRDefault="00373FC9" w:rsidP="00373FC9">
            <w:pPr>
              <w:rPr>
                <w:i/>
              </w:rPr>
            </w:pPr>
            <w:r>
              <w:rPr>
                <w:i/>
              </w:rPr>
              <w:t xml:space="preserve">It was moved by Barry Ashton </w:t>
            </w:r>
            <w:r w:rsidR="00FE45F9">
              <w:rPr>
                <w:i/>
              </w:rPr>
              <w:t xml:space="preserve">and seconded by Maj Quentin Innis that Alex Gault be a Trustee of the Foundation and appointed as Chair of the Communications Public Relations Committee.                                        </w:t>
            </w:r>
            <w:r w:rsidR="00FE45F9">
              <w:rPr>
                <w:b/>
              </w:rPr>
              <w:t>Carried</w:t>
            </w:r>
            <w:r w:rsidR="00FE45F9">
              <w:rPr>
                <w:i/>
              </w:rPr>
              <w:t xml:space="preserve"> </w:t>
            </w:r>
          </w:p>
        </w:tc>
        <w:tc>
          <w:tcPr>
            <w:tcW w:w="1879" w:type="dxa"/>
          </w:tcPr>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281554" w:rsidRPr="001233D7" w:rsidRDefault="0085142F" w:rsidP="0085142F">
            <w:pPr>
              <w:ind w:right="411"/>
              <w:rPr>
                <w:rFonts w:ascii="Calibri" w:hAnsi="Calibri"/>
                <w:szCs w:val="22"/>
              </w:rPr>
            </w:pPr>
            <w:r>
              <w:rPr>
                <w:rFonts w:ascii="Calibri" w:hAnsi="Calibri"/>
                <w:szCs w:val="22"/>
              </w:rPr>
              <w:t>Secretary</w:t>
            </w:r>
          </w:p>
        </w:tc>
      </w:tr>
      <w:tr w:rsidR="00FE45F9" w:rsidRPr="001233D7" w:rsidTr="00B63260">
        <w:trPr>
          <w:jc w:val="center"/>
        </w:trPr>
        <w:tc>
          <w:tcPr>
            <w:tcW w:w="912" w:type="dxa"/>
          </w:tcPr>
          <w:p w:rsidR="00FE45F9" w:rsidRDefault="00FE45F9" w:rsidP="00932409">
            <w:pPr>
              <w:pStyle w:val="Heading2"/>
            </w:pPr>
            <w:r>
              <w:lastRenderedPageBreak/>
              <w:t>7.</w:t>
            </w:r>
          </w:p>
        </w:tc>
        <w:tc>
          <w:tcPr>
            <w:tcW w:w="7577" w:type="dxa"/>
          </w:tcPr>
          <w:p w:rsidR="00FE45F9" w:rsidRDefault="00FE45F9" w:rsidP="00932409">
            <w:pPr>
              <w:pStyle w:val="Heading2"/>
            </w:pPr>
            <w:r>
              <w:t>Appointment of the Financial Review Firm for 2016</w:t>
            </w:r>
          </w:p>
          <w:p w:rsidR="00FE45F9" w:rsidRDefault="00FE45F9" w:rsidP="00FE45F9">
            <w:pPr>
              <w:rPr>
                <w:b/>
              </w:rPr>
            </w:pPr>
            <w:r w:rsidRPr="00FE45F9">
              <w:rPr>
                <w:i/>
              </w:rPr>
              <w:t>It was moved by Kent Foster and s</w:t>
            </w:r>
            <w:r>
              <w:rPr>
                <w:i/>
              </w:rPr>
              <w:t>econded by Barry Ashton that the requirement for an audit of financial records for the year ending Dec 31</w:t>
            </w:r>
            <w:r w:rsidRPr="00FE45F9">
              <w:rPr>
                <w:i/>
                <w:vertAlign w:val="superscript"/>
              </w:rPr>
              <w:t>st</w:t>
            </w:r>
            <w:r>
              <w:rPr>
                <w:i/>
              </w:rPr>
              <w:t xml:space="preserve"> 2016 be waived in favour of a less expensed financial review.           </w:t>
            </w:r>
            <w:r>
              <w:rPr>
                <w:b/>
              </w:rPr>
              <w:t>Carried</w:t>
            </w:r>
          </w:p>
          <w:p w:rsidR="00FE45F9" w:rsidRDefault="00FE45F9" w:rsidP="00FE45F9">
            <w:pPr>
              <w:rPr>
                <w:b/>
              </w:rPr>
            </w:pPr>
          </w:p>
          <w:p w:rsidR="00FE45F9" w:rsidRPr="00FE45F9" w:rsidRDefault="00FE45F9" w:rsidP="0015276F">
            <w:pPr>
              <w:rPr>
                <w:b/>
              </w:rPr>
            </w:pPr>
            <w:r w:rsidRPr="00FE45F9">
              <w:rPr>
                <w:i/>
              </w:rPr>
              <w:t>It was moved by Kent Foster and seconded by Jim Kempling</w:t>
            </w:r>
            <w:r>
              <w:rPr>
                <w:i/>
              </w:rPr>
              <w:t xml:space="preserve"> that the selection of the </w:t>
            </w:r>
            <w:r w:rsidR="007A0185">
              <w:rPr>
                <w:i/>
              </w:rPr>
              <w:t>F</w:t>
            </w:r>
            <w:r>
              <w:rPr>
                <w:i/>
              </w:rPr>
              <w:t xml:space="preserve">inancial </w:t>
            </w:r>
            <w:r w:rsidR="0015276F">
              <w:rPr>
                <w:i/>
              </w:rPr>
              <w:t xml:space="preserve">Assurance Firm </w:t>
            </w:r>
            <w:r>
              <w:rPr>
                <w:i/>
              </w:rPr>
              <w:t xml:space="preserve">be delegated to the Chair and Finance Committee following their review of proposals.                                    </w:t>
            </w:r>
            <w:r>
              <w:rPr>
                <w:b/>
              </w:rPr>
              <w:t>Carried</w:t>
            </w:r>
          </w:p>
        </w:tc>
        <w:tc>
          <w:tcPr>
            <w:tcW w:w="1879" w:type="dxa"/>
          </w:tcPr>
          <w:p w:rsidR="00FE45F9" w:rsidRDefault="00FE45F9" w:rsidP="00B63260">
            <w:pPr>
              <w:ind w:left="150" w:right="411"/>
              <w:rPr>
                <w:rFonts w:ascii="Calibri" w:hAnsi="Calibri"/>
                <w:szCs w:val="22"/>
              </w:rPr>
            </w:pPr>
          </w:p>
          <w:p w:rsidR="00FE45F9" w:rsidRDefault="00FE45F9" w:rsidP="00B63260">
            <w:pPr>
              <w:ind w:left="150" w:right="411"/>
              <w:rPr>
                <w:rFonts w:ascii="Calibri" w:hAnsi="Calibri"/>
                <w:szCs w:val="22"/>
              </w:rPr>
            </w:pPr>
          </w:p>
          <w:p w:rsidR="00FE45F9" w:rsidRDefault="00FE45F9" w:rsidP="00B63260">
            <w:pPr>
              <w:ind w:left="150" w:right="411"/>
              <w:rPr>
                <w:rFonts w:ascii="Calibri" w:hAnsi="Calibri"/>
                <w:szCs w:val="22"/>
              </w:rPr>
            </w:pPr>
          </w:p>
          <w:p w:rsidR="00FE45F9" w:rsidRPr="001233D7" w:rsidRDefault="00FE45F9" w:rsidP="00B63260">
            <w:pPr>
              <w:ind w:left="150" w:right="411"/>
              <w:rPr>
                <w:rFonts w:ascii="Calibri" w:hAnsi="Calibri"/>
                <w:szCs w:val="22"/>
              </w:rPr>
            </w:pPr>
            <w:r>
              <w:rPr>
                <w:rFonts w:ascii="Calibri" w:hAnsi="Calibri"/>
                <w:szCs w:val="22"/>
              </w:rPr>
              <w:t>Dennis Anderson</w:t>
            </w:r>
          </w:p>
        </w:tc>
      </w:tr>
      <w:tr w:rsidR="00ED3DBB" w:rsidRPr="001233D7" w:rsidTr="00B63260">
        <w:trPr>
          <w:jc w:val="center"/>
        </w:trPr>
        <w:tc>
          <w:tcPr>
            <w:tcW w:w="912" w:type="dxa"/>
          </w:tcPr>
          <w:p w:rsidR="00ED3DBB" w:rsidRDefault="00ED3DBB" w:rsidP="00932409">
            <w:pPr>
              <w:pStyle w:val="Heading2"/>
            </w:pPr>
            <w:r>
              <w:t>8.</w:t>
            </w:r>
          </w:p>
        </w:tc>
        <w:tc>
          <w:tcPr>
            <w:tcW w:w="7577" w:type="dxa"/>
          </w:tcPr>
          <w:p w:rsidR="00ED3DBB" w:rsidRDefault="00ED3DBB" w:rsidP="00932409">
            <w:pPr>
              <w:pStyle w:val="Heading2"/>
            </w:pPr>
            <w:r>
              <w:t>Other Business</w:t>
            </w:r>
          </w:p>
          <w:p w:rsidR="00ED3DBB" w:rsidRPr="00ED3DBB" w:rsidRDefault="00ED3DBB" w:rsidP="00ED3DBB">
            <w:pPr>
              <w:rPr>
                <w:b/>
              </w:rPr>
            </w:pPr>
            <w:r w:rsidRPr="00ED3DBB">
              <w:rPr>
                <w:b/>
              </w:rPr>
              <w:t>Vote of Appreciation:</w:t>
            </w:r>
            <w:r>
              <w:t xml:space="preserve">  The President noted his intention to write to retiring a letter of thanks to retiring trustees on behalf of the Foundation.  He would also like to extend thanks to the Calgary members under Barry Ashton for their outstanding efforts and to the Board of the For the Soldier Institut</w:t>
            </w:r>
            <w:r w:rsidR="0085142F">
              <w:t>e for their support.  Thanks were</w:t>
            </w:r>
            <w:r>
              <w:t xml:space="preserve"> also extended to the Toronto team responsible for Hockey Heroes and all our supporters including corporate sponsors, government and our volunteers.  Finally, the President acknowledged the good work of Andre Thibodeau, who would be stepping down as our book-keeper.                                                                         </w:t>
            </w:r>
            <w:r>
              <w:rPr>
                <w:b/>
              </w:rPr>
              <w:t>Agreed</w:t>
            </w:r>
          </w:p>
        </w:tc>
        <w:tc>
          <w:tcPr>
            <w:tcW w:w="1879" w:type="dxa"/>
          </w:tcPr>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85142F" w:rsidRDefault="0085142F" w:rsidP="00B63260">
            <w:pPr>
              <w:ind w:left="150" w:right="411"/>
              <w:rPr>
                <w:rFonts w:ascii="Calibri" w:hAnsi="Calibri"/>
                <w:szCs w:val="22"/>
              </w:rPr>
            </w:pPr>
          </w:p>
          <w:p w:rsidR="00ED3DBB" w:rsidRDefault="0085142F" w:rsidP="00B63260">
            <w:pPr>
              <w:ind w:left="150" w:right="411"/>
              <w:rPr>
                <w:rFonts w:ascii="Calibri" w:hAnsi="Calibri"/>
                <w:szCs w:val="22"/>
              </w:rPr>
            </w:pPr>
            <w:r>
              <w:rPr>
                <w:rFonts w:ascii="Calibri" w:hAnsi="Calibri"/>
                <w:szCs w:val="22"/>
              </w:rPr>
              <w:t>Kent Foster</w:t>
            </w:r>
          </w:p>
        </w:tc>
      </w:tr>
      <w:tr w:rsidR="00ED3DBB" w:rsidRPr="001233D7" w:rsidTr="00B63260">
        <w:trPr>
          <w:jc w:val="center"/>
        </w:trPr>
        <w:tc>
          <w:tcPr>
            <w:tcW w:w="912" w:type="dxa"/>
          </w:tcPr>
          <w:p w:rsidR="00ED3DBB" w:rsidRDefault="00ED3DBB" w:rsidP="00932409">
            <w:pPr>
              <w:pStyle w:val="Heading2"/>
            </w:pPr>
            <w:r>
              <w:t>9.</w:t>
            </w:r>
          </w:p>
        </w:tc>
        <w:tc>
          <w:tcPr>
            <w:tcW w:w="7577" w:type="dxa"/>
          </w:tcPr>
          <w:p w:rsidR="00ED3DBB" w:rsidRDefault="00ED3DBB" w:rsidP="00932409">
            <w:pPr>
              <w:pStyle w:val="Heading2"/>
            </w:pPr>
            <w:r>
              <w:t>Next Meeting</w:t>
            </w:r>
          </w:p>
          <w:p w:rsidR="00ED3DBB" w:rsidRPr="00ED3DBB" w:rsidRDefault="00ED3DBB" w:rsidP="00BA3660">
            <w:r>
              <w:t>It was agreed the next annual general meeting would be held on Friday May 26</w:t>
            </w:r>
            <w:r w:rsidRPr="00ED3DBB">
              <w:rPr>
                <w:vertAlign w:val="superscript"/>
              </w:rPr>
              <w:t>th</w:t>
            </w:r>
            <w:r>
              <w:t xml:space="preserve"> 2017 at the Military Museums in Calgary</w:t>
            </w:r>
            <w:r w:rsidR="00BA3660">
              <w:t>.</w:t>
            </w:r>
          </w:p>
        </w:tc>
        <w:tc>
          <w:tcPr>
            <w:tcW w:w="1879" w:type="dxa"/>
          </w:tcPr>
          <w:p w:rsidR="00ED3DBB" w:rsidRDefault="00ED3DBB" w:rsidP="00B63260">
            <w:pPr>
              <w:ind w:left="150" w:right="411"/>
              <w:rPr>
                <w:rFonts w:ascii="Calibri" w:hAnsi="Calibri"/>
                <w:szCs w:val="22"/>
              </w:rPr>
            </w:pPr>
          </w:p>
          <w:p w:rsidR="00BA3660" w:rsidRDefault="00BA3660" w:rsidP="00B63260">
            <w:pPr>
              <w:ind w:left="150" w:right="411"/>
              <w:rPr>
                <w:rFonts w:ascii="Calibri" w:hAnsi="Calibri"/>
                <w:szCs w:val="22"/>
              </w:rPr>
            </w:pPr>
          </w:p>
          <w:p w:rsidR="00BA3660" w:rsidRDefault="0085142F" w:rsidP="00BA3660">
            <w:pPr>
              <w:ind w:right="411"/>
              <w:rPr>
                <w:rFonts w:ascii="Calibri" w:hAnsi="Calibri"/>
                <w:szCs w:val="22"/>
              </w:rPr>
            </w:pPr>
            <w:r>
              <w:rPr>
                <w:rFonts w:ascii="Calibri" w:hAnsi="Calibri"/>
                <w:szCs w:val="22"/>
              </w:rPr>
              <w:t>Secretary</w:t>
            </w:r>
          </w:p>
        </w:tc>
      </w:tr>
      <w:tr w:rsidR="00BA3660" w:rsidRPr="001233D7" w:rsidTr="00B63260">
        <w:trPr>
          <w:jc w:val="center"/>
        </w:trPr>
        <w:tc>
          <w:tcPr>
            <w:tcW w:w="912" w:type="dxa"/>
          </w:tcPr>
          <w:p w:rsidR="00BA3660" w:rsidRDefault="00BA3660" w:rsidP="00932409">
            <w:pPr>
              <w:pStyle w:val="Heading2"/>
            </w:pPr>
            <w:r>
              <w:t>10</w:t>
            </w:r>
          </w:p>
        </w:tc>
        <w:tc>
          <w:tcPr>
            <w:tcW w:w="7577" w:type="dxa"/>
          </w:tcPr>
          <w:p w:rsidR="00BA3660" w:rsidRDefault="00BA3660" w:rsidP="00932409">
            <w:pPr>
              <w:pStyle w:val="Heading2"/>
            </w:pPr>
            <w:r>
              <w:t>Adjournment</w:t>
            </w:r>
          </w:p>
          <w:p w:rsidR="00BA3660" w:rsidRPr="00BA3660" w:rsidRDefault="00BA3660" w:rsidP="00BA3660">
            <w:pPr>
              <w:rPr>
                <w:b/>
                <w:i/>
              </w:rPr>
            </w:pPr>
            <w:r>
              <w:rPr>
                <w:i/>
              </w:rPr>
              <w:t xml:space="preserve">It was moved by Robin Carter and seconded by Bill Hewson that the meeting be adjourned at 1440 MDT.                                                        </w:t>
            </w:r>
            <w:r w:rsidRPr="00BA3660">
              <w:rPr>
                <w:b/>
              </w:rPr>
              <w:t>Carried</w:t>
            </w:r>
          </w:p>
        </w:tc>
        <w:tc>
          <w:tcPr>
            <w:tcW w:w="1879" w:type="dxa"/>
          </w:tcPr>
          <w:p w:rsidR="00BA3660" w:rsidRDefault="00BA3660" w:rsidP="00B63260">
            <w:pPr>
              <w:ind w:left="150" w:right="411"/>
              <w:rPr>
                <w:rFonts w:ascii="Calibri" w:hAnsi="Calibri"/>
                <w:szCs w:val="22"/>
              </w:rPr>
            </w:pPr>
          </w:p>
        </w:tc>
      </w:tr>
    </w:tbl>
    <w:p w:rsidR="00491144" w:rsidRPr="00B2262A" w:rsidRDefault="00491144" w:rsidP="00006A05">
      <w:pPr>
        <w:ind w:left="567" w:right="1019"/>
        <w:rPr>
          <w:sz w:val="22"/>
          <w:szCs w:val="22"/>
        </w:rPr>
      </w:pPr>
    </w:p>
    <w:sectPr w:rsidR="00491144" w:rsidRPr="00B2262A" w:rsidSect="0085142F">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1433" w:footer="48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EB" w:rsidRDefault="00117FEB" w:rsidP="001F24A8">
      <w:r>
        <w:separator/>
      </w:r>
    </w:p>
  </w:endnote>
  <w:endnote w:type="continuationSeparator" w:id="0">
    <w:p w:rsidR="00117FEB" w:rsidRDefault="00117FEB" w:rsidP="001F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A0" w:rsidRDefault="00BC5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8B" w:rsidRDefault="00BA36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2016</w:t>
    </w:r>
    <w:r w:rsidR="00DD0B8B">
      <w:rPr>
        <w:rFonts w:asciiTheme="majorHAnsi" w:eastAsiaTheme="majorEastAsia" w:hAnsiTheme="majorHAnsi" w:cstheme="majorBidi"/>
      </w:rPr>
      <w:t xml:space="preserve"> Annual</w:t>
    </w:r>
    <w:r>
      <w:rPr>
        <w:rFonts w:asciiTheme="majorHAnsi" w:eastAsiaTheme="majorEastAsia" w:hAnsiTheme="majorHAnsi" w:cstheme="majorBidi"/>
      </w:rPr>
      <w:t xml:space="preserve"> General Meeting Minutes</w:t>
    </w:r>
    <w:r w:rsidR="00DD0B8B">
      <w:rPr>
        <w:rFonts w:asciiTheme="majorHAnsi" w:eastAsiaTheme="majorEastAsia" w:hAnsiTheme="majorHAnsi" w:cstheme="majorBidi"/>
      </w:rPr>
      <w:t xml:space="preserve"> </w:t>
    </w:r>
    <w:r w:rsidR="00DD0B8B">
      <w:rPr>
        <w:rFonts w:asciiTheme="majorHAnsi" w:eastAsiaTheme="majorEastAsia" w:hAnsiTheme="majorHAnsi" w:cstheme="majorBidi"/>
      </w:rPr>
      <w:ptab w:relativeTo="margin" w:alignment="right" w:leader="none"/>
    </w:r>
    <w:r w:rsidR="00DD0B8B">
      <w:rPr>
        <w:rFonts w:asciiTheme="majorHAnsi" w:eastAsiaTheme="majorEastAsia" w:hAnsiTheme="majorHAnsi" w:cstheme="majorBidi"/>
      </w:rPr>
      <w:t xml:space="preserve">Page </w:t>
    </w:r>
    <w:r w:rsidR="00DD0B8B">
      <w:rPr>
        <w:rFonts w:eastAsiaTheme="minorEastAsia" w:cstheme="minorBidi"/>
      </w:rPr>
      <w:fldChar w:fldCharType="begin"/>
    </w:r>
    <w:r w:rsidR="00DD0B8B">
      <w:instrText xml:space="preserve"> PAGE   \* MERGEFORMAT </w:instrText>
    </w:r>
    <w:r w:rsidR="00DD0B8B">
      <w:rPr>
        <w:rFonts w:eastAsiaTheme="minorEastAsia" w:cstheme="minorBidi"/>
      </w:rPr>
      <w:fldChar w:fldCharType="separate"/>
    </w:r>
    <w:r w:rsidR="00E16EDD" w:rsidRPr="00E16EDD">
      <w:rPr>
        <w:rFonts w:asciiTheme="majorHAnsi" w:eastAsiaTheme="majorEastAsia" w:hAnsiTheme="majorHAnsi" w:cstheme="majorBidi"/>
        <w:noProof/>
      </w:rPr>
      <w:t>2</w:t>
    </w:r>
    <w:r w:rsidR="00DD0B8B">
      <w:rPr>
        <w:rFonts w:asciiTheme="majorHAnsi" w:eastAsiaTheme="majorEastAsia" w:hAnsiTheme="majorHAnsi" w:cstheme="majorBidi"/>
        <w:noProof/>
      </w:rPr>
      <w:fldChar w:fldCharType="end"/>
    </w:r>
  </w:p>
  <w:p w:rsidR="00DD0B8B" w:rsidRDefault="00DD0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A0" w:rsidRDefault="00BC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EB" w:rsidRDefault="00117FEB" w:rsidP="001F24A8">
      <w:r>
        <w:separator/>
      </w:r>
    </w:p>
  </w:footnote>
  <w:footnote w:type="continuationSeparator" w:id="0">
    <w:p w:rsidR="00117FEB" w:rsidRDefault="00117FEB" w:rsidP="001F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A0" w:rsidRDefault="00BC5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60" w:rsidRPr="00BA3660" w:rsidRDefault="00117FEB" w:rsidP="0085142F">
    <w:pPr>
      <w:pStyle w:val="Header"/>
    </w:pPr>
    <w:sdt>
      <w:sdtPr>
        <w:id w:val="892779018"/>
        <w:docPartObj>
          <w:docPartGallery w:val="Watermarks"/>
          <w:docPartUnique/>
        </w:docPartObj>
      </w:sdtPr>
      <w:sdtEndPr/>
      <w:sdtContent>
        <w:r>
          <w:rPr>
            <w:noProof/>
          </w:rPr>
          <w:pict w14:anchorId="6F6AE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B2BE2" w:rsidRPr="003B2BE2">
      <w:rPr>
        <w:noProof/>
      </w:rPr>
      <w:drawing>
        <wp:anchor distT="0" distB="0" distL="114300" distR="114300" simplePos="0" relativeHeight="251657216" behindDoc="1" locked="0" layoutInCell="1" allowOverlap="1" wp14:anchorId="540334B9" wp14:editId="1A0A928C">
          <wp:simplePos x="0" y="0"/>
          <wp:positionH relativeFrom="column">
            <wp:posOffset>-392332</wp:posOffset>
          </wp:positionH>
          <wp:positionV relativeFrom="paragraph">
            <wp:posOffset>-672710</wp:posOffset>
          </wp:positionV>
          <wp:extent cx="6631383" cy="920115"/>
          <wp:effectExtent l="0" t="0" r="0" b="0"/>
          <wp:wrapTight wrapText="bothSides">
            <wp:wrapPolygon edited="0">
              <wp:start x="0" y="0"/>
              <wp:lineTo x="0" y="21019"/>
              <wp:lineTo x="21532" y="21019"/>
              <wp:lineTo x="21532" y="0"/>
              <wp:lineTo x="0" y="0"/>
            </wp:wrapPolygon>
          </wp:wrapTight>
          <wp:docPr id="11" name="Picture 11" descr="C:\Users\James\Documents\PPCLI\Foundation\Secretary\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Documents\PPCLI\Foundation\Secretary\Image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1383" cy="92011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A0" w:rsidRDefault="00BC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4CFC"/>
    <w:multiLevelType w:val="hybridMultilevel"/>
    <w:tmpl w:val="47644F32"/>
    <w:lvl w:ilvl="0" w:tplc="7AD83EE6">
      <w:start w:val="1"/>
      <w:numFmt w:val="lowerLetter"/>
      <w:lvlText w:val="%1."/>
      <w:lvlJc w:val="left"/>
      <w:pPr>
        <w:ind w:left="400" w:hanging="360"/>
      </w:pPr>
      <w:rPr>
        <w:rFonts w:hint="default"/>
        <w:sz w:val="22"/>
      </w:rPr>
    </w:lvl>
    <w:lvl w:ilvl="1" w:tplc="10090019" w:tentative="1">
      <w:start w:val="1"/>
      <w:numFmt w:val="lowerLetter"/>
      <w:lvlText w:val="%2."/>
      <w:lvlJc w:val="left"/>
      <w:pPr>
        <w:ind w:left="1120" w:hanging="360"/>
      </w:pPr>
    </w:lvl>
    <w:lvl w:ilvl="2" w:tplc="1009001B" w:tentative="1">
      <w:start w:val="1"/>
      <w:numFmt w:val="lowerRoman"/>
      <w:lvlText w:val="%3."/>
      <w:lvlJc w:val="right"/>
      <w:pPr>
        <w:ind w:left="1840" w:hanging="180"/>
      </w:pPr>
    </w:lvl>
    <w:lvl w:ilvl="3" w:tplc="1009000F" w:tentative="1">
      <w:start w:val="1"/>
      <w:numFmt w:val="decimal"/>
      <w:lvlText w:val="%4."/>
      <w:lvlJc w:val="left"/>
      <w:pPr>
        <w:ind w:left="2560" w:hanging="360"/>
      </w:pPr>
    </w:lvl>
    <w:lvl w:ilvl="4" w:tplc="10090019" w:tentative="1">
      <w:start w:val="1"/>
      <w:numFmt w:val="lowerLetter"/>
      <w:lvlText w:val="%5."/>
      <w:lvlJc w:val="left"/>
      <w:pPr>
        <w:ind w:left="3280" w:hanging="360"/>
      </w:pPr>
    </w:lvl>
    <w:lvl w:ilvl="5" w:tplc="1009001B" w:tentative="1">
      <w:start w:val="1"/>
      <w:numFmt w:val="lowerRoman"/>
      <w:lvlText w:val="%6."/>
      <w:lvlJc w:val="right"/>
      <w:pPr>
        <w:ind w:left="4000" w:hanging="180"/>
      </w:pPr>
    </w:lvl>
    <w:lvl w:ilvl="6" w:tplc="1009000F" w:tentative="1">
      <w:start w:val="1"/>
      <w:numFmt w:val="decimal"/>
      <w:lvlText w:val="%7."/>
      <w:lvlJc w:val="left"/>
      <w:pPr>
        <w:ind w:left="4720" w:hanging="360"/>
      </w:pPr>
    </w:lvl>
    <w:lvl w:ilvl="7" w:tplc="10090019" w:tentative="1">
      <w:start w:val="1"/>
      <w:numFmt w:val="lowerLetter"/>
      <w:lvlText w:val="%8."/>
      <w:lvlJc w:val="left"/>
      <w:pPr>
        <w:ind w:left="5440" w:hanging="360"/>
      </w:pPr>
    </w:lvl>
    <w:lvl w:ilvl="8" w:tplc="1009001B" w:tentative="1">
      <w:start w:val="1"/>
      <w:numFmt w:val="lowerRoman"/>
      <w:lvlText w:val="%9."/>
      <w:lvlJc w:val="right"/>
      <w:pPr>
        <w:ind w:left="6160" w:hanging="180"/>
      </w:pPr>
    </w:lvl>
  </w:abstractNum>
  <w:abstractNum w:abstractNumId="1" w15:restartNumberingAfterBreak="0">
    <w:nsid w:val="7CC67EE7"/>
    <w:multiLevelType w:val="hybridMultilevel"/>
    <w:tmpl w:val="6EDA2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F"/>
    <w:rsid w:val="00006A05"/>
    <w:rsid w:val="00014DE3"/>
    <w:rsid w:val="000207DE"/>
    <w:rsid w:val="00031AA5"/>
    <w:rsid w:val="000516D2"/>
    <w:rsid w:val="00061A12"/>
    <w:rsid w:val="0008086F"/>
    <w:rsid w:val="00093552"/>
    <w:rsid w:val="000A6DF0"/>
    <w:rsid w:val="000C689D"/>
    <w:rsid w:val="000E0CA3"/>
    <w:rsid w:val="000E1D4D"/>
    <w:rsid w:val="000E73CC"/>
    <w:rsid w:val="000F2727"/>
    <w:rsid w:val="000F2C8B"/>
    <w:rsid w:val="001015EE"/>
    <w:rsid w:val="00104E42"/>
    <w:rsid w:val="00117FEB"/>
    <w:rsid w:val="001233D7"/>
    <w:rsid w:val="0014200E"/>
    <w:rsid w:val="0015276F"/>
    <w:rsid w:val="00157BDC"/>
    <w:rsid w:val="001637B5"/>
    <w:rsid w:val="0019504E"/>
    <w:rsid w:val="00197D1B"/>
    <w:rsid w:val="001B1B7D"/>
    <w:rsid w:val="001F24A8"/>
    <w:rsid w:val="00206615"/>
    <w:rsid w:val="00207904"/>
    <w:rsid w:val="0021266D"/>
    <w:rsid w:val="00215CB8"/>
    <w:rsid w:val="00226801"/>
    <w:rsid w:val="002541D4"/>
    <w:rsid w:val="0026381F"/>
    <w:rsid w:val="00281554"/>
    <w:rsid w:val="00284D7D"/>
    <w:rsid w:val="002B1762"/>
    <w:rsid w:val="002B3C3D"/>
    <w:rsid w:val="002C1530"/>
    <w:rsid w:val="002F5182"/>
    <w:rsid w:val="00300D1E"/>
    <w:rsid w:val="003255C3"/>
    <w:rsid w:val="00332CE7"/>
    <w:rsid w:val="00335680"/>
    <w:rsid w:val="00336FF9"/>
    <w:rsid w:val="0033726A"/>
    <w:rsid w:val="003374F3"/>
    <w:rsid w:val="0034616F"/>
    <w:rsid w:val="003557AA"/>
    <w:rsid w:val="00355B55"/>
    <w:rsid w:val="00373FC9"/>
    <w:rsid w:val="003924D5"/>
    <w:rsid w:val="003B2BE2"/>
    <w:rsid w:val="003C35BA"/>
    <w:rsid w:val="003C6D6C"/>
    <w:rsid w:val="003D3168"/>
    <w:rsid w:val="003D4D91"/>
    <w:rsid w:val="003F43C4"/>
    <w:rsid w:val="004814EF"/>
    <w:rsid w:val="00491144"/>
    <w:rsid w:val="004A58C6"/>
    <w:rsid w:val="004C3C09"/>
    <w:rsid w:val="004D10F5"/>
    <w:rsid w:val="004E2C49"/>
    <w:rsid w:val="004E49DB"/>
    <w:rsid w:val="004E75C3"/>
    <w:rsid w:val="004F4F0F"/>
    <w:rsid w:val="0050104B"/>
    <w:rsid w:val="005066C4"/>
    <w:rsid w:val="00514442"/>
    <w:rsid w:val="005225CF"/>
    <w:rsid w:val="005427C0"/>
    <w:rsid w:val="00542CDD"/>
    <w:rsid w:val="00543AAD"/>
    <w:rsid w:val="00562D0E"/>
    <w:rsid w:val="005638C5"/>
    <w:rsid w:val="005A5197"/>
    <w:rsid w:val="005B70AC"/>
    <w:rsid w:val="005C1C24"/>
    <w:rsid w:val="005E2D24"/>
    <w:rsid w:val="005E75BE"/>
    <w:rsid w:val="00605F0D"/>
    <w:rsid w:val="00630DBC"/>
    <w:rsid w:val="00630DDE"/>
    <w:rsid w:val="006379AC"/>
    <w:rsid w:val="006A08A4"/>
    <w:rsid w:val="006A5EC5"/>
    <w:rsid w:val="006D4073"/>
    <w:rsid w:val="006D4527"/>
    <w:rsid w:val="006E780C"/>
    <w:rsid w:val="006F4FA3"/>
    <w:rsid w:val="006F58EA"/>
    <w:rsid w:val="00700ECD"/>
    <w:rsid w:val="00713DBE"/>
    <w:rsid w:val="00737D90"/>
    <w:rsid w:val="00763F73"/>
    <w:rsid w:val="0077564E"/>
    <w:rsid w:val="007A0185"/>
    <w:rsid w:val="007A185A"/>
    <w:rsid w:val="007B4B58"/>
    <w:rsid w:val="007B6967"/>
    <w:rsid w:val="007D5A00"/>
    <w:rsid w:val="007F0FD5"/>
    <w:rsid w:val="008062A1"/>
    <w:rsid w:val="00813F0B"/>
    <w:rsid w:val="0085142F"/>
    <w:rsid w:val="0085589E"/>
    <w:rsid w:val="00861AFB"/>
    <w:rsid w:val="0086248A"/>
    <w:rsid w:val="0087553B"/>
    <w:rsid w:val="008764D7"/>
    <w:rsid w:val="008876AC"/>
    <w:rsid w:val="008A2E69"/>
    <w:rsid w:val="008E0A36"/>
    <w:rsid w:val="00932409"/>
    <w:rsid w:val="00934218"/>
    <w:rsid w:val="009521FC"/>
    <w:rsid w:val="00972724"/>
    <w:rsid w:val="0097361B"/>
    <w:rsid w:val="00985F58"/>
    <w:rsid w:val="00997540"/>
    <w:rsid w:val="009D6B21"/>
    <w:rsid w:val="009E0D7E"/>
    <w:rsid w:val="009E614D"/>
    <w:rsid w:val="00A02363"/>
    <w:rsid w:val="00A10750"/>
    <w:rsid w:val="00A14678"/>
    <w:rsid w:val="00A2264B"/>
    <w:rsid w:val="00A27561"/>
    <w:rsid w:val="00A80BB6"/>
    <w:rsid w:val="00A95B4D"/>
    <w:rsid w:val="00AA5334"/>
    <w:rsid w:val="00AC5213"/>
    <w:rsid w:val="00AD3CDC"/>
    <w:rsid w:val="00AF76AF"/>
    <w:rsid w:val="00B069E9"/>
    <w:rsid w:val="00B17E4B"/>
    <w:rsid w:val="00B2262A"/>
    <w:rsid w:val="00B34E2A"/>
    <w:rsid w:val="00B50FFC"/>
    <w:rsid w:val="00B536BE"/>
    <w:rsid w:val="00B63260"/>
    <w:rsid w:val="00BA3660"/>
    <w:rsid w:val="00BC5CA0"/>
    <w:rsid w:val="00BC65E4"/>
    <w:rsid w:val="00BD7003"/>
    <w:rsid w:val="00BF481C"/>
    <w:rsid w:val="00C242FD"/>
    <w:rsid w:val="00C5080B"/>
    <w:rsid w:val="00C57EE3"/>
    <w:rsid w:val="00C62645"/>
    <w:rsid w:val="00C72230"/>
    <w:rsid w:val="00C803EA"/>
    <w:rsid w:val="00C86322"/>
    <w:rsid w:val="00C87FC3"/>
    <w:rsid w:val="00C93CF4"/>
    <w:rsid w:val="00CA1020"/>
    <w:rsid w:val="00CC3978"/>
    <w:rsid w:val="00CD6397"/>
    <w:rsid w:val="00CE7363"/>
    <w:rsid w:val="00CF2015"/>
    <w:rsid w:val="00D0036A"/>
    <w:rsid w:val="00D1225A"/>
    <w:rsid w:val="00D32A08"/>
    <w:rsid w:val="00D33B77"/>
    <w:rsid w:val="00D358AE"/>
    <w:rsid w:val="00D446AB"/>
    <w:rsid w:val="00D91BFC"/>
    <w:rsid w:val="00D9693A"/>
    <w:rsid w:val="00DA76F2"/>
    <w:rsid w:val="00DA7B77"/>
    <w:rsid w:val="00DB4F7C"/>
    <w:rsid w:val="00DD0B8B"/>
    <w:rsid w:val="00DD5C4B"/>
    <w:rsid w:val="00DF2142"/>
    <w:rsid w:val="00DF7D69"/>
    <w:rsid w:val="00E040D8"/>
    <w:rsid w:val="00E16EDD"/>
    <w:rsid w:val="00E5473D"/>
    <w:rsid w:val="00E61CB4"/>
    <w:rsid w:val="00E71DED"/>
    <w:rsid w:val="00E82E08"/>
    <w:rsid w:val="00E84170"/>
    <w:rsid w:val="00EB0124"/>
    <w:rsid w:val="00EC14FC"/>
    <w:rsid w:val="00EC18F3"/>
    <w:rsid w:val="00EC41B1"/>
    <w:rsid w:val="00ED3DBB"/>
    <w:rsid w:val="00F05D85"/>
    <w:rsid w:val="00F23CFA"/>
    <w:rsid w:val="00F25007"/>
    <w:rsid w:val="00F60597"/>
    <w:rsid w:val="00F85470"/>
    <w:rsid w:val="00F85A5F"/>
    <w:rsid w:val="00FC7634"/>
    <w:rsid w:val="00FD5F8C"/>
    <w:rsid w:val="00FE45F9"/>
    <w:rsid w:val="00FF7B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1BFBB94-9EC3-41B3-9AD3-F9101FE5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E3"/>
    <w:rPr>
      <w:rFonts w:asciiTheme="minorHAnsi" w:eastAsia="Times New Roman" w:hAnsiTheme="minorHAnsi"/>
      <w:sz w:val="24"/>
      <w:lang w:val="en-US" w:eastAsia="en-US"/>
    </w:rPr>
  </w:style>
  <w:style w:type="paragraph" w:styleId="Heading1">
    <w:name w:val="heading 1"/>
    <w:basedOn w:val="Normal"/>
    <w:next w:val="Normal"/>
    <w:link w:val="Heading1Char"/>
    <w:autoRedefine/>
    <w:qFormat/>
    <w:locked/>
    <w:rsid w:val="00281554"/>
    <w:pPr>
      <w:keepNext/>
      <w:keepLines/>
      <w:outlineLvl w:val="0"/>
    </w:pPr>
    <w:rPr>
      <w:rFonts w:eastAsiaTheme="majorEastAsia" w:cstheme="majorBidi"/>
      <w:b/>
      <w:sz w:val="28"/>
      <w:szCs w:val="32"/>
    </w:rPr>
  </w:style>
  <w:style w:type="paragraph" w:styleId="Heading2">
    <w:name w:val="heading 2"/>
    <w:basedOn w:val="Normal"/>
    <w:next w:val="Normal"/>
    <w:link w:val="Heading2Char"/>
    <w:unhideWhenUsed/>
    <w:qFormat/>
    <w:locked/>
    <w:rsid w:val="00014DE3"/>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58C6"/>
    <w:rPr>
      <w:rFonts w:ascii="Tahoma" w:hAnsi="Tahoma" w:cs="Tahoma"/>
      <w:sz w:val="16"/>
      <w:szCs w:val="16"/>
    </w:rPr>
  </w:style>
  <w:style w:type="character" w:customStyle="1" w:styleId="BalloonTextChar">
    <w:name w:val="Balloon Text Char"/>
    <w:link w:val="BalloonText"/>
    <w:uiPriority w:val="99"/>
    <w:semiHidden/>
    <w:locked/>
    <w:rsid w:val="00BC65E4"/>
    <w:rPr>
      <w:rFonts w:ascii="Times New Roman" w:hAnsi="Times New Roman" w:cs="Times New Roman"/>
      <w:sz w:val="2"/>
    </w:rPr>
  </w:style>
  <w:style w:type="paragraph" w:styleId="Header">
    <w:name w:val="header"/>
    <w:basedOn w:val="Normal"/>
    <w:link w:val="HeaderChar"/>
    <w:uiPriority w:val="99"/>
    <w:unhideWhenUsed/>
    <w:rsid w:val="001F24A8"/>
    <w:pPr>
      <w:tabs>
        <w:tab w:val="center" w:pos="4680"/>
        <w:tab w:val="right" w:pos="9360"/>
      </w:tabs>
    </w:pPr>
  </w:style>
  <w:style w:type="character" w:customStyle="1" w:styleId="HeaderChar">
    <w:name w:val="Header Char"/>
    <w:link w:val="Header"/>
    <w:uiPriority w:val="99"/>
    <w:rsid w:val="001F24A8"/>
    <w:rPr>
      <w:rFonts w:ascii="Times New Roman" w:eastAsia="Times New Roman" w:hAnsi="Times New Roman"/>
      <w:sz w:val="24"/>
      <w:lang w:val="en-US" w:eastAsia="en-US"/>
    </w:rPr>
  </w:style>
  <w:style w:type="paragraph" w:styleId="Footer">
    <w:name w:val="footer"/>
    <w:basedOn w:val="Normal"/>
    <w:link w:val="FooterChar"/>
    <w:uiPriority w:val="99"/>
    <w:unhideWhenUsed/>
    <w:rsid w:val="001F24A8"/>
    <w:pPr>
      <w:tabs>
        <w:tab w:val="center" w:pos="4680"/>
        <w:tab w:val="right" w:pos="9360"/>
      </w:tabs>
    </w:pPr>
  </w:style>
  <w:style w:type="character" w:customStyle="1" w:styleId="FooterChar">
    <w:name w:val="Footer Char"/>
    <w:link w:val="Footer"/>
    <w:uiPriority w:val="99"/>
    <w:rsid w:val="001F24A8"/>
    <w:rPr>
      <w:rFonts w:ascii="Times New Roman" w:eastAsia="Times New Roman" w:hAnsi="Times New Roman"/>
      <w:sz w:val="24"/>
      <w:lang w:val="en-US" w:eastAsia="en-US"/>
    </w:rPr>
  </w:style>
  <w:style w:type="paragraph" w:styleId="ListParagraph">
    <w:name w:val="List Paragraph"/>
    <w:basedOn w:val="Normal"/>
    <w:uiPriority w:val="34"/>
    <w:qFormat/>
    <w:rsid w:val="008764D7"/>
    <w:pPr>
      <w:ind w:left="720"/>
      <w:contextualSpacing/>
    </w:pPr>
  </w:style>
  <w:style w:type="character" w:styleId="CommentReference">
    <w:name w:val="annotation reference"/>
    <w:basedOn w:val="DefaultParagraphFont"/>
    <w:uiPriority w:val="99"/>
    <w:semiHidden/>
    <w:unhideWhenUsed/>
    <w:rsid w:val="00335680"/>
    <w:rPr>
      <w:sz w:val="18"/>
      <w:szCs w:val="18"/>
    </w:rPr>
  </w:style>
  <w:style w:type="paragraph" w:styleId="CommentText">
    <w:name w:val="annotation text"/>
    <w:basedOn w:val="Normal"/>
    <w:link w:val="CommentTextChar"/>
    <w:uiPriority w:val="99"/>
    <w:semiHidden/>
    <w:unhideWhenUsed/>
    <w:rsid w:val="00335680"/>
    <w:rPr>
      <w:szCs w:val="24"/>
    </w:rPr>
  </w:style>
  <w:style w:type="character" w:customStyle="1" w:styleId="CommentTextChar">
    <w:name w:val="Comment Text Char"/>
    <w:basedOn w:val="DefaultParagraphFont"/>
    <w:link w:val="CommentText"/>
    <w:uiPriority w:val="99"/>
    <w:semiHidden/>
    <w:rsid w:val="00335680"/>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335680"/>
    <w:rPr>
      <w:b/>
      <w:bCs/>
      <w:sz w:val="20"/>
      <w:szCs w:val="20"/>
    </w:rPr>
  </w:style>
  <w:style w:type="character" w:customStyle="1" w:styleId="CommentSubjectChar">
    <w:name w:val="Comment Subject Char"/>
    <w:basedOn w:val="CommentTextChar"/>
    <w:link w:val="CommentSubject"/>
    <w:uiPriority w:val="99"/>
    <w:semiHidden/>
    <w:rsid w:val="00335680"/>
    <w:rPr>
      <w:rFonts w:ascii="Times New Roman" w:eastAsia="Times New Roman" w:hAnsi="Times New Roman"/>
      <w:b/>
      <w:bCs/>
      <w:sz w:val="24"/>
      <w:szCs w:val="24"/>
      <w:lang w:val="en-US" w:eastAsia="en-US"/>
    </w:rPr>
  </w:style>
  <w:style w:type="paragraph" w:styleId="Title">
    <w:name w:val="Title"/>
    <w:basedOn w:val="Normal"/>
    <w:next w:val="Normal"/>
    <w:link w:val="TitleChar"/>
    <w:qFormat/>
    <w:locked/>
    <w:rsid w:val="00014DE3"/>
    <w:pPr>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rsid w:val="00014DE3"/>
    <w:rPr>
      <w:rFonts w:asciiTheme="majorHAnsi" w:eastAsiaTheme="majorEastAsia" w:hAnsiTheme="majorHAnsi" w:cstheme="majorBidi"/>
      <w:spacing w:val="-10"/>
      <w:kern w:val="28"/>
      <w:sz w:val="40"/>
      <w:szCs w:val="56"/>
      <w:lang w:val="en-US" w:eastAsia="en-US"/>
    </w:rPr>
  </w:style>
  <w:style w:type="character" w:customStyle="1" w:styleId="Heading1Char">
    <w:name w:val="Heading 1 Char"/>
    <w:basedOn w:val="DefaultParagraphFont"/>
    <w:link w:val="Heading1"/>
    <w:rsid w:val="00281554"/>
    <w:rPr>
      <w:rFonts w:asciiTheme="minorHAnsi" w:eastAsiaTheme="majorEastAsia" w:hAnsiTheme="minorHAnsi" w:cstheme="majorBidi"/>
      <w:b/>
      <w:sz w:val="28"/>
      <w:szCs w:val="32"/>
      <w:lang w:val="en-US" w:eastAsia="en-US"/>
    </w:rPr>
  </w:style>
  <w:style w:type="character" w:styleId="SubtleEmphasis">
    <w:name w:val="Subtle Emphasis"/>
    <w:basedOn w:val="DefaultParagraphFont"/>
    <w:uiPriority w:val="19"/>
    <w:qFormat/>
    <w:rsid w:val="00014DE3"/>
    <w:rPr>
      <w:b/>
      <w:i/>
      <w:iCs/>
      <w:color w:val="404040" w:themeColor="text1" w:themeTint="BF"/>
    </w:rPr>
  </w:style>
  <w:style w:type="character" w:customStyle="1" w:styleId="Heading2Char">
    <w:name w:val="Heading 2 Char"/>
    <w:basedOn w:val="DefaultParagraphFont"/>
    <w:link w:val="Heading2"/>
    <w:rsid w:val="00014DE3"/>
    <w:rPr>
      <w:rFonts w:asciiTheme="minorHAnsi" w:eastAsiaTheme="majorEastAsia" w:hAnsiTheme="minorHAnsi" w:cstheme="majorBidi"/>
      <w:b/>
      <w:sz w:val="24"/>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167A-C3C3-43E1-AA6A-B5B83217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Princess Patricia’s Canadian Light Infantry Foundation</vt:lpstr>
    </vt:vector>
  </TitlesOfParts>
  <Company>Hewlett-Packard Company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Patricia’s Canadian Light Infantry Foundation</dc:title>
  <dc:creator>Sheila Serup</dc:creator>
  <cp:lastModifiedBy>Jim Kempling</cp:lastModifiedBy>
  <cp:revision>2</cp:revision>
  <cp:lastPrinted>2012-06-05T18:47:00Z</cp:lastPrinted>
  <dcterms:created xsi:type="dcterms:W3CDTF">2016-07-20T20:02:00Z</dcterms:created>
  <dcterms:modified xsi:type="dcterms:W3CDTF">2016-07-20T20:02:00Z</dcterms:modified>
</cp:coreProperties>
</file>